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2C4" w:rsidRPr="004A0F3E" w:rsidRDefault="004E000C" w:rsidP="00F55213">
      <w:pPr>
        <w:spacing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4A0F3E">
        <w:rPr>
          <w:rFonts w:ascii="Times New Roman" w:eastAsia="Arial" w:hAnsi="Times New Roman" w:cs="Times New Roman"/>
          <w:b/>
          <w:sz w:val="24"/>
          <w:szCs w:val="24"/>
        </w:rPr>
        <w:t>Bahagian A</w:t>
      </w:r>
    </w:p>
    <w:p w:rsidR="008372C4" w:rsidRPr="00F55213" w:rsidRDefault="00F55213" w:rsidP="00F55213">
      <w:pPr>
        <w:spacing w:line="36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[40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markah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]</w:t>
      </w:r>
    </w:p>
    <w:p w:rsidR="008372C4" w:rsidRPr="00F55213" w:rsidRDefault="004E000C" w:rsidP="00F55213">
      <w:pPr>
        <w:spacing w:line="36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55213">
        <w:rPr>
          <w:rFonts w:ascii="Times New Roman" w:eastAsia="Arial" w:hAnsi="Times New Roman" w:cs="Times New Roman"/>
          <w:sz w:val="24"/>
          <w:szCs w:val="24"/>
        </w:rPr>
        <w:t>Jawab</w:t>
      </w:r>
      <w:proofErr w:type="spellEnd"/>
      <w:r w:rsidRPr="00F5521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F55213" w:rsidRPr="00F55213">
        <w:rPr>
          <w:rFonts w:ascii="Times New Roman" w:eastAsia="Arial" w:hAnsi="Times New Roman" w:cs="Times New Roman"/>
          <w:b/>
          <w:sz w:val="24"/>
          <w:szCs w:val="24"/>
        </w:rPr>
        <w:t>semua</w:t>
      </w:r>
      <w:proofErr w:type="spellEnd"/>
      <w:r w:rsidRPr="00F5521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55213">
        <w:rPr>
          <w:rFonts w:ascii="Times New Roman" w:eastAsia="Arial" w:hAnsi="Times New Roman" w:cs="Times New Roman"/>
          <w:sz w:val="24"/>
          <w:szCs w:val="24"/>
        </w:rPr>
        <w:t>soalan</w:t>
      </w:r>
      <w:proofErr w:type="spellEnd"/>
    </w:p>
    <w:tbl>
      <w:tblPr>
        <w:tblStyle w:val="a"/>
        <w:tblW w:w="9016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8372C4" w:rsidRPr="00F55213" w:rsidTr="00706BE1">
        <w:tc>
          <w:tcPr>
            <w:tcW w:w="30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0" w:type="dxa"/>
            <w:gridSpan w:val="2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nasionalisme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Barat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penentangan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pemerintahan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beraja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penindasan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juga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perjuangan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kemerdekaan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F5521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36" w:type="dxa"/>
          </w:tcPr>
          <w:p w:rsidR="008372C4" w:rsidRPr="00F55213" w:rsidRDefault="004E000C" w:rsidP="00F5521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Nyatakan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dua</w:t>
            </w:r>
            <w:proofErr w:type="spellEnd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revolusi</w:t>
            </w:r>
            <w:proofErr w:type="spellEnd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tercetus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Barat</w:t>
            </w:r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706BE1" w:rsidRDefault="004E000C" w:rsidP="00706BE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06BE1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 w:rsidRPr="00706BE1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706BE1" w:rsidRDefault="004E000C" w:rsidP="00706BE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06BE1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 w:rsidRPr="00706BE1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F55213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[2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F5521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tercetusnya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nasionalisme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1(a).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F55213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F55213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136" w:type="dxa"/>
          </w:tcPr>
          <w:p w:rsidR="00F55213" w:rsidRDefault="00F5521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Nasiona</w:t>
            </w:r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lisme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kesan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pembinaan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55213" w:rsidRPr="00F55213" w:rsidRDefault="00706BE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</w:t>
            </w:r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ndangan</w:t>
            </w:r>
            <w:proofErr w:type="spellEnd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F55213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</w:tbl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0"/>
        <w:tblW w:w="9016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8372C4" w:rsidRPr="00F55213" w:rsidTr="004A0F3E">
        <w:tc>
          <w:tcPr>
            <w:tcW w:w="30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10" w:type="dxa"/>
            <w:gridSpan w:val="2"/>
          </w:tcPr>
          <w:p w:rsidR="008C6562" w:rsidRDefault="004E0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Majlis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Perundangan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ditubuhkan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bawah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Perjanjian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1948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dibubarkan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</w:t>
            </w:r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1955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membolehkan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umum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buat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pertama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kalinya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ahli-ahli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mewakili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rakyat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Majlis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Perundangan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Persekutuan.</w:t>
            </w:r>
          </w:p>
          <w:p w:rsidR="004A0F3E" w:rsidRPr="00F55213" w:rsidRDefault="004A0F3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2C4" w:rsidRPr="00E16437" w:rsidRDefault="008C6562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sumber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hyperlink r:id="rId7" w:history="1">
              <w:r w:rsidRPr="00E16437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https://ms.wikipedia.org/wiki/Ahli_Majlis_Perundangan _</w:t>
              </w:r>
              <w:proofErr w:type="spellStart"/>
              <w:r w:rsidRPr="00E16437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Persekutuan_Tanah_Melayu</w:t>
              </w:r>
              <w:proofErr w:type="spellEnd"/>
            </w:hyperlink>
            <w:r w:rsidR="004E000C"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372C4" w:rsidRPr="00F55213" w:rsidRDefault="008372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C656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Senaraikan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peringkat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diadakan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Persekutuan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sepanjang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1951-1955.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706BE1" w:rsidRDefault="004E000C" w:rsidP="00706BE1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706BE1" w:rsidRP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706BE1" w:rsidRDefault="004E000C" w:rsidP="00706BE1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C656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Majl</w:t>
            </w:r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Perundangan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1955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diadakan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Persekutuan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0C46F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raya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kestabilan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hala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>tuju</w:t>
            </w:r>
            <w:proofErr w:type="spellEnd"/>
            <w:r w:rsidR="008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sesebuah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</w:tbl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1"/>
        <w:tblW w:w="9016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8372C4" w:rsidRPr="00F55213" w:rsidTr="004A0F3E">
        <w:tc>
          <w:tcPr>
            <w:tcW w:w="30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10" w:type="dxa"/>
            <w:gridSpan w:val="2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Perlembagaan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Persekutuan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adalah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berasakan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nilai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tradisi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Kesultanan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Melaka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dikuti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prinsip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Undang-undang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Inggeris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disesuaikan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nilai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tempatan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C6562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(a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Berikan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56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dua</w:t>
            </w:r>
            <w:proofErr w:type="spellEnd"/>
            <w:r w:rsidRPr="008C656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perkara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terdapat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dalam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Undang-undang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Inggeris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[2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C6562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Jelaskan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ciri-ciri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moden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terkandung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dalam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Perlembagaan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Persekutuan.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tbl>
      <w:tblPr>
        <w:tblW w:w="901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706BE1" w:rsidRPr="00F55213" w:rsidTr="00706BE1">
        <w:tc>
          <w:tcPr>
            <w:tcW w:w="306" w:type="dxa"/>
          </w:tcPr>
          <w:p w:rsidR="00706BE1" w:rsidRPr="00F55213" w:rsidRDefault="00706BE1" w:rsidP="00EC1DF9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06BE1" w:rsidRPr="00F55213" w:rsidRDefault="00706BE1" w:rsidP="00EC1DF9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706BE1" w:rsidRPr="00F55213" w:rsidRDefault="00706BE1" w:rsidP="00EC1DF9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tbl>
      <w:tblPr>
        <w:tblStyle w:val="a1"/>
        <w:tblW w:w="9016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C6562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136" w:type="dxa"/>
          </w:tcPr>
          <w:p w:rsidR="008372C4" w:rsidRPr="00F55213" w:rsidRDefault="004E000C" w:rsidP="00706BE1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Sebagai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rakyat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Malaysia,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cadangkan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langkah-langkah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perlu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diambil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bagi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mempertahankan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perlembagaan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?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706BE1" w:rsidRPr="00F55213" w:rsidTr="00706BE1">
        <w:tc>
          <w:tcPr>
            <w:tcW w:w="306" w:type="dxa"/>
          </w:tcPr>
          <w:p w:rsidR="00706BE1" w:rsidRPr="00F55213" w:rsidRDefault="00706BE1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706BE1" w:rsidRPr="00F55213" w:rsidRDefault="00706BE1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706BE1" w:rsidRPr="00F55213" w:rsidRDefault="00706BE1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C6562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706BE1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C6562">
            <w:pPr>
              <w:spacing w:line="48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</w:tbl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2"/>
        <w:tblW w:w="9016" w:type="dxa"/>
        <w:tblLayout w:type="fixed"/>
        <w:tblLook w:val="0400" w:firstRow="0" w:lastRow="0" w:firstColumn="0" w:lastColumn="0" w:noHBand="0" w:noVBand="1"/>
      </w:tblPr>
      <w:tblGrid>
        <w:gridCol w:w="306"/>
        <w:gridCol w:w="574"/>
        <w:gridCol w:w="8136"/>
      </w:tblGrid>
      <w:tr w:rsidR="008372C4" w:rsidRPr="00F55213" w:rsidTr="004A0F3E">
        <w:trPr>
          <w:trHeight w:val="2672"/>
        </w:trPr>
        <w:tc>
          <w:tcPr>
            <w:tcW w:w="30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710" w:type="dxa"/>
            <w:gridSpan w:val="2"/>
          </w:tcPr>
          <w:p w:rsidR="008372C4" w:rsidRPr="00F55213" w:rsidRDefault="004E000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Maklumat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Mei 1969. </w:t>
            </w:r>
          </w:p>
          <w:tbl>
            <w:tblPr>
              <w:tblStyle w:val="a3"/>
              <w:tblW w:w="836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360"/>
            </w:tblGrid>
            <w:tr w:rsidR="008372C4" w:rsidRPr="00F55213" w:rsidTr="008638C4">
              <w:tc>
                <w:tcPr>
                  <w:tcW w:w="83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372C4" w:rsidRPr="00A7723D" w:rsidRDefault="004E000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Buat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pertama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kalinya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selepas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kemerdekaan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dinikmati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konflik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perkauman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antara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kaum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Melayu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bukan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Melayu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meletus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sehingga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tahap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serang-menyerang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bunuh-membunuh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situasi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ini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amat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membimbangkan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negara-negara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berjiran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dengan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Malaysia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serta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negara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Britain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selaku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penjajah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yang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memberikan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kemerdekaan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kepada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Malaysia.</w:t>
                  </w:r>
                </w:p>
                <w:p w:rsidR="008372C4" w:rsidRPr="00A7723D" w:rsidRDefault="008372C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372C4" w:rsidRPr="00F55213" w:rsidRDefault="004E000C" w:rsidP="000C46F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Sumber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: Nor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Azlah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Sham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Rashidah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2017.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Tragedi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13 Mei 1969: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Satu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Laporan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Bersumberkan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Rekod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Foreign and Commonwealth Office. </w:t>
                  </w:r>
                  <w:proofErr w:type="spellStart"/>
                  <w:r w:rsidRPr="00A7723D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Jurnal</w:t>
                  </w:r>
                  <w:proofErr w:type="spellEnd"/>
                  <w:r w:rsidRPr="00A7723D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 xml:space="preserve"> IJGC. Vol. 2(6),</w:t>
                  </w:r>
                  <w:r w:rsidRPr="00A7723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139-154.</w:t>
                  </w:r>
                </w:p>
              </w:tc>
            </w:tr>
          </w:tbl>
          <w:p w:rsidR="008372C4" w:rsidRPr="00F55213" w:rsidRDefault="008372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638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36" w:type="dxa"/>
          </w:tcPr>
          <w:p w:rsidR="008372C4" w:rsidRPr="00F55213" w:rsidRDefault="00706BE1" w:rsidP="00706BE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rusuhan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Mei 1969?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638C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638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36" w:type="dxa"/>
          </w:tcPr>
          <w:p w:rsidR="008372C4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peranan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Majlis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Negara (MAGERAN)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ditubuhkan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selepas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Mei 1969?</w:t>
            </w:r>
          </w:p>
          <w:p w:rsidR="000C46F3" w:rsidRPr="00F55213" w:rsidRDefault="000C46F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638C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638C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136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pelbagai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mengekalkan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perpaduan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kaum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46F3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dilaksanakan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4E000C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…………</w:t>
            </w:r>
            <w:r w:rsidR="008638C4">
              <w:rPr>
                <w:rFonts w:ascii="Times New Roman" w:eastAsia="Arial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72C4" w:rsidRPr="00F55213" w:rsidTr="004A0F3E">
        <w:tc>
          <w:tcPr>
            <w:tcW w:w="306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8372C4" w:rsidRPr="00F55213" w:rsidRDefault="008372C4">
            <w:pPr>
              <w:spacing w:line="48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136" w:type="dxa"/>
          </w:tcPr>
          <w:p w:rsidR="008372C4" w:rsidRPr="00F55213" w:rsidRDefault="008638C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:rsidR="000C46F3" w:rsidRDefault="000C46F3" w:rsidP="00A7723D">
      <w:pPr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706BE1" w:rsidRDefault="00706BE1" w:rsidP="00A7723D">
      <w:pPr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8372C4" w:rsidRPr="00A7723D" w:rsidRDefault="004E000C" w:rsidP="00A7723D">
      <w:pPr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A7723D">
        <w:rPr>
          <w:rFonts w:ascii="Times New Roman" w:eastAsia="Arial" w:hAnsi="Times New Roman" w:cs="Times New Roman"/>
          <w:b/>
          <w:sz w:val="24"/>
          <w:szCs w:val="24"/>
        </w:rPr>
        <w:lastRenderedPageBreak/>
        <w:t>Bahagian</w:t>
      </w:r>
      <w:proofErr w:type="spellEnd"/>
      <w:r w:rsidRPr="00A7723D">
        <w:rPr>
          <w:rFonts w:ascii="Times New Roman" w:eastAsia="Arial" w:hAnsi="Times New Roman" w:cs="Times New Roman"/>
          <w:b/>
          <w:sz w:val="24"/>
          <w:szCs w:val="24"/>
        </w:rPr>
        <w:t xml:space="preserve"> B</w:t>
      </w:r>
    </w:p>
    <w:p w:rsidR="008372C4" w:rsidRPr="00A7723D" w:rsidRDefault="00A7723D" w:rsidP="00A7723D">
      <w:pPr>
        <w:spacing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7723D">
        <w:rPr>
          <w:rFonts w:ascii="Times New Roman" w:eastAsia="Arial" w:hAnsi="Times New Roman" w:cs="Times New Roman"/>
          <w:sz w:val="24"/>
          <w:szCs w:val="24"/>
        </w:rPr>
        <w:t xml:space="preserve">[60 </w:t>
      </w:r>
      <w:proofErr w:type="spellStart"/>
      <w:r w:rsidRPr="00A7723D">
        <w:rPr>
          <w:rFonts w:ascii="Times New Roman" w:eastAsia="Arial" w:hAnsi="Times New Roman" w:cs="Times New Roman"/>
          <w:sz w:val="24"/>
          <w:szCs w:val="24"/>
        </w:rPr>
        <w:t>Markah</w:t>
      </w:r>
      <w:proofErr w:type="spellEnd"/>
      <w:r w:rsidRPr="00A7723D">
        <w:rPr>
          <w:rFonts w:ascii="Times New Roman" w:eastAsia="Arial" w:hAnsi="Times New Roman" w:cs="Times New Roman"/>
          <w:sz w:val="24"/>
          <w:szCs w:val="24"/>
        </w:rPr>
        <w:t>]</w:t>
      </w:r>
    </w:p>
    <w:p w:rsidR="008372C4" w:rsidRDefault="004E000C" w:rsidP="00A7723D">
      <w:pPr>
        <w:spacing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55213">
        <w:rPr>
          <w:rFonts w:ascii="Times New Roman" w:eastAsia="Arial" w:hAnsi="Times New Roman" w:cs="Times New Roman"/>
          <w:sz w:val="24"/>
          <w:szCs w:val="24"/>
        </w:rPr>
        <w:t>Jawab</w:t>
      </w:r>
      <w:proofErr w:type="spellEnd"/>
      <w:r w:rsidR="00A7723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723D" w:rsidRPr="00F55213">
        <w:rPr>
          <w:rFonts w:ascii="Times New Roman" w:eastAsia="Arial" w:hAnsi="Times New Roman" w:cs="Times New Roman"/>
          <w:b/>
          <w:sz w:val="24"/>
          <w:szCs w:val="24"/>
        </w:rPr>
        <w:t>tiga</w:t>
      </w:r>
      <w:proofErr w:type="spellEnd"/>
      <w:r w:rsidRPr="00F5521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55213">
        <w:rPr>
          <w:rFonts w:ascii="Times New Roman" w:eastAsia="Arial" w:hAnsi="Times New Roman" w:cs="Times New Roman"/>
          <w:sz w:val="24"/>
          <w:szCs w:val="24"/>
        </w:rPr>
        <w:t>soalan</w:t>
      </w:r>
      <w:proofErr w:type="spellEnd"/>
      <w:r w:rsidRPr="00F5521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55213">
        <w:rPr>
          <w:rFonts w:ascii="Times New Roman" w:eastAsia="Arial" w:hAnsi="Times New Roman" w:cs="Times New Roman"/>
          <w:sz w:val="24"/>
          <w:szCs w:val="24"/>
        </w:rPr>
        <w:t>sahaja</w:t>
      </w:r>
      <w:proofErr w:type="spellEnd"/>
      <w:r w:rsidRPr="00F55213">
        <w:rPr>
          <w:rFonts w:ascii="Times New Roman" w:eastAsia="Arial" w:hAnsi="Times New Roman" w:cs="Times New Roman"/>
          <w:sz w:val="24"/>
          <w:szCs w:val="24"/>
        </w:rPr>
        <w:t>.</w:t>
      </w:r>
    </w:p>
    <w:p w:rsidR="00A7723D" w:rsidRPr="00F55213" w:rsidRDefault="00A7723D" w:rsidP="00A7723D">
      <w:pPr>
        <w:spacing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4"/>
        <w:tblW w:w="9016" w:type="dxa"/>
        <w:tblLayout w:type="fixed"/>
        <w:tblLook w:val="0400" w:firstRow="0" w:lastRow="0" w:firstColumn="0" w:lastColumn="0" w:noHBand="0" w:noVBand="1"/>
      </w:tblPr>
      <w:tblGrid>
        <w:gridCol w:w="704"/>
        <w:gridCol w:w="567"/>
        <w:gridCol w:w="7745"/>
      </w:tblGrid>
      <w:tr w:rsidR="008372C4" w:rsidRPr="00F55213" w:rsidTr="004A0F3E">
        <w:tc>
          <w:tcPr>
            <w:tcW w:w="704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2" w:type="dxa"/>
            <w:gridSpan w:val="2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Serangan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tentera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Jepun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</w:t>
            </w:r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yu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bermula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>Disember</w:t>
            </w:r>
            <w:proofErr w:type="spellEnd"/>
            <w:r w:rsidR="00706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1941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manakala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serangan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Sarawak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Sabah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bermula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Disember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1941</w:t>
            </w:r>
            <w:r w:rsidR="006936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rPr>
          <w:trHeight w:val="926"/>
        </w:trPr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55145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Sarawak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Sabah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sasaran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tentera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Jepun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                                                                </w:t>
            </w:r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[4 </w:t>
            </w:r>
            <w:proofErr w:type="spellStart"/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55145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Terangkan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pentadbiran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Jepun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[8 </w:t>
            </w:r>
            <w:proofErr w:type="spellStart"/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55145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745" w:type="dxa"/>
          </w:tcPr>
          <w:p w:rsidR="00A7723D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pendudukan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Jepun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kesengsaraan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penderitaan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rakyat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Ulaskan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[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marka</w:t>
            </w:r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="00A7723D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5"/>
        <w:tblW w:w="9016" w:type="dxa"/>
        <w:tblLayout w:type="fixed"/>
        <w:tblLook w:val="0400" w:firstRow="0" w:lastRow="0" w:firstColumn="0" w:lastColumn="0" w:noHBand="0" w:noVBand="1"/>
      </w:tblPr>
      <w:tblGrid>
        <w:gridCol w:w="704"/>
        <w:gridCol w:w="567"/>
        <w:gridCol w:w="7745"/>
      </w:tblGrid>
      <w:tr w:rsidR="008372C4" w:rsidRPr="00F55213" w:rsidTr="004A0F3E">
        <w:tc>
          <w:tcPr>
            <w:tcW w:w="704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12" w:type="dxa"/>
            <w:gridSpan w:val="2"/>
          </w:tcPr>
          <w:p w:rsidR="008372C4" w:rsidRPr="00F55213" w:rsidRDefault="004E0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Februari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1948, Persekutuan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ditubuhkan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rasmi</w:t>
            </w:r>
            <w:proofErr w:type="spellEnd"/>
          </w:p>
          <w:p w:rsidR="008372C4" w:rsidRPr="00F55213" w:rsidRDefault="004E0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Raja-raja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menandatangani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Perjanjia</w:t>
            </w:r>
            <w:r w:rsidR="00691BA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691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="00691BA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="00691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1948.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91BA3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45" w:type="dxa"/>
          </w:tcPr>
          <w:p w:rsidR="008372C4" w:rsidRPr="00F55213" w:rsidRDefault="00691BA3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faktor-faktor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pembentukan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Persekutuan Tanah </w:t>
            </w:r>
            <w:proofErr w:type="spellStart"/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Melayu</w:t>
            </w:r>
            <w:proofErr w:type="spellEnd"/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1948?</w:t>
            </w:r>
          </w:p>
          <w:p w:rsidR="008372C4" w:rsidRPr="00F55213" w:rsidRDefault="004E000C">
            <w:pPr>
              <w:spacing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        [6 </w:t>
            </w:r>
            <w:proofErr w:type="spellStart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91BA3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Jelaskan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ciri-ciri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1948.</w:t>
            </w:r>
          </w:p>
          <w:p w:rsidR="008372C4" w:rsidRPr="00F55213" w:rsidRDefault="004E000C">
            <w:pPr>
              <w:spacing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[6 </w:t>
            </w:r>
            <w:proofErr w:type="spellStart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rPr>
          <w:trHeight w:val="2361"/>
        </w:trPr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91BA3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114300" distB="114300" distL="114300" distR="114300">
                      <wp:extent cx="4781550" cy="1358900"/>
                      <wp:effectExtent l="12700" t="12700" r="12700" b="12700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65525" y="501575"/>
                                <a:ext cx="6028500" cy="16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372C4" w:rsidRDefault="004E000C" w:rsidP="00691BA3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after="0" w:line="240" w:lineRule="auto"/>
                                    <w:jc w:val="both"/>
                                    <w:textDirection w:val="btLr"/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Bagi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pihak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orang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Melayu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perjanjian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Persekutuan 1948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merupakan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satu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kemenangan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besar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kerana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mengembalikan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hak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pertuanan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Melayu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;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dalam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erti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kata Tanah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Melayu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merupakan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negeri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bertuah.Oleh</w:t>
                                  </w:r>
                                  <w:proofErr w:type="spellEnd"/>
                                  <w:proofErr w:type="gram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itu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pihak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British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tidak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boleh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sewenang-wenangnya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menentukan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apa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kehendaki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dan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apa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perlu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dibuang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Bagi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persepsi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Raja-Raja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Melayu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pula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perjanjian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tersebut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telah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mengembalikan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kedaulatan</w:t>
                                  </w:r>
                                  <w:proofErr w:type="spellEnd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91BA3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baginda</w:t>
                                  </w:r>
                                  <w:proofErr w:type="spellEnd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dan</w:t>
                                  </w:r>
                                  <w:proofErr w:type="spellEnd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menjamin</w:t>
                                  </w:r>
                                  <w:proofErr w:type="spellEnd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kedudukan</w:t>
                                  </w:r>
                                  <w:proofErr w:type="spellEnd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orang </w:t>
                                  </w:r>
                                  <w:proofErr w:type="spellStart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Melayu</w:t>
                                  </w:r>
                                  <w:proofErr w:type="spellEnd"/>
                                  <w:r w:rsidR="00706BE1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691BA3" w:rsidRDefault="00691BA3" w:rsidP="00691BA3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after="0" w:line="240" w:lineRule="auto"/>
                                    <w:textDirection w:val="btLr"/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91BA3" w:rsidRPr="00E16437" w:rsidRDefault="00691BA3" w:rsidP="00691BA3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after="0" w:line="240" w:lineRule="auto"/>
                                    <w:jc w:val="right"/>
                                    <w:textDirection w:val="btL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E16437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sumber:http</w:t>
                                  </w:r>
                                  <w:proofErr w:type="spellEnd"/>
                                  <w:r w:rsidRPr="00E16437"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://eprints.um.edu.my</w:t>
                                  </w:r>
                                </w:p>
                                <w:p w:rsidR="008372C4" w:rsidRPr="00691BA3" w:rsidRDefault="004E000C" w:rsidP="00691BA3">
                                  <w:pPr>
                                    <w:spacing w:after="0" w:line="240" w:lineRule="auto"/>
                                    <w:jc w:val="right"/>
                                    <w:textDirection w:val="btL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</w:rPr>
                                    <w:t xml:space="preserve">                                                                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width:376.5pt;height:10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" filled="f" stroked="f">
                      <v:textbox style="mso-fit-shape-to-text:t" inset="2.53958mm,2.53958mm,2.53958mm,2.53958mm">
                        <w:txbxContent>
                          <w:p w:rsidR="008372C4" w:rsidRDefault="004E000C" w:rsidP="00691BA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Bagi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pihak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orang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Melayu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perjanjian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Persekutuan 1948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merupakan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satu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kemenangan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besar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kerana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ia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mengembalikan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hak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pertuanan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Melayu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erti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kata Tanah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Melayu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merupakan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negeri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bertuah.Oleh</w:t>
                            </w:r>
                            <w:proofErr w:type="spellEnd"/>
                            <w:proofErr w:type="gram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itu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pihak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British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boleh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sewenang-wenangnya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menentukan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ia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kehendaki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perlu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dibuang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Bagi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persepsi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Raja-Raja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Melayu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pula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perjanjian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tersebut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telah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mengembalikan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kedaulatan</w:t>
                            </w:r>
                            <w:proofErr w:type="spellEnd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BA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baginda</w:t>
                            </w:r>
                            <w:proofErr w:type="spellEnd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menjamin</w:t>
                            </w:r>
                            <w:proofErr w:type="spellEnd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kedudukan</w:t>
                            </w:r>
                            <w:proofErr w:type="spellEnd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orang </w:t>
                            </w:r>
                            <w:proofErr w:type="spellStart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Melayu</w:t>
                            </w:r>
                            <w:proofErr w:type="spellEnd"/>
                            <w:r w:rsidR="00706BE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1BA3" w:rsidRDefault="00691BA3" w:rsidP="00691BA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91BA3" w:rsidRPr="00E16437" w:rsidRDefault="00691BA3" w:rsidP="00691BA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right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E16437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sumber:http</w:t>
                            </w:r>
                            <w:proofErr w:type="spellEnd"/>
                            <w:r w:rsidRPr="00E16437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://eprints.um.edu.my</w:t>
                            </w:r>
                          </w:p>
                          <w:p w:rsidR="008372C4" w:rsidRPr="00691BA3" w:rsidRDefault="004E000C" w:rsidP="00691BA3">
                            <w:pPr>
                              <w:spacing w:after="0" w:line="240" w:lineRule="auto"/>
                              <w:jc w:val="right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 xml:space="preserve">                                                               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Bincangkan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diperoleh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kejayaan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pembentukan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1948.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        [8 </w:t>
            </w:r>
            <w:proofErr w:type="spellStart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 w:rsidR="00691BA3"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:rsidR="008372C4" w:rsidRPr="00F55213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6"/>
        <w:tblW w:w="9016" w:type="dxa"/>
        <w:tblLayout w:type="fixed"/>
        <w:tblLook w:val="0400" w:firstRow="0" w:lastRow="0" w:firstColumn="0" w:lastColumn="0" w:noHBand="0" w:noVBand="1"/>
      </w:tblPr>
      <w:tblGrid>
        <w:gridCol w:w="704"/>
        <w:gridCol w:w="567"/>
        <w:gridCol w:w="7745"/>
      </w:tblGrid>
      <w:tr w:rsidR="008372C4" w:rsidRPr="00F55213" w:rsidTr="004A0F3E">
        <w:tc>
          <w:tcPr>
            <w:tcW w:w="704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12" w:type="dxa"/>
            <w:gridSpan w:val="2"/>
          </w:tcPr>
          <w:p w:rsidR="008372C4" w:rsidRPr="00F55213" w:rsidRDefault="004E000C" w:rsidP="00154F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Perlembagaan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memperuntukkan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pembahagian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kuasa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dirujuk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Senarai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Senarai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Senarai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154F1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pembahagian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kuasa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5" w:type="dxa"/>
          </w:tcPr>
          <w:p w:rsidR="00154F14" w:rsidRPr="000C46F3" w:rsidRDefault="004E000C" w:rsidP="000C46F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                                                                   </w:t>
            </w:r>
          </w:p>
          <w:p w:rsidR="008372C4" w:rsidRPr="00154F14" w:rsidRDefault="00154F14" w:rsidP="00154F14">
            <w:pPr>
              <w:pStyle w:val="ListParagraph"/>
              <w:spacing w:line="360" w:lineRule="auto"/>
              <w:ind w:left="10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4E000C"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4E000C"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5" w:type="dxa"/>
          </w:tcPr>
          <w:p w:rsidR="00154F14" w:rsidRPr="000C46F3" w:rsidRDefault="004E000C" w:rsidP="000C46F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C4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8372C4" w:rsidRPr="00154F14" w:rsidRDefault="00154F14" w:rsidP="00154F14">
            <w:pPr>
              <w:pStyle w:val="ListParagraph"/>
              <w:spacing w:line="360" w:lineRule="auto"/>
              <w:ind w:left="10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 w:rsidR="004E000C"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5" w:type="dxa"/>
          </w:tcPr>
          <w:p w:rsidR="00154F14" w:rsidRPr="00154F14" w:rsidRDefault="004E000C" w:rsidP="000C46F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Tempatan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  <w:p w:rsidR="008372C4" w:rsidRPr="00154F14" w:rsidRDefault="00154F14" w:rsidP="00154F14">
            <w:pPr>
              <w:pStyle w:val="ListParagraph"/>
              <w:spacing w:line="360" w:lineRule="auto"/>
              <w:ind w:left="10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4E000C"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4E000C"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CA6855" w:rsidRPr="00F55213" w:rsidTr="004A0F3E">
        <w:tc>
          <w:tcPr>
            <w:tcW w:w="704" w:type="dxa"/>
          </w:tcPr>
          <w:p w:rsidR="00CA6855" w:rsidRPr="00F55213" w:rsidRDefault="00CA685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6855" w:rsidRPr="00F55213" w:rsidRDefault="00CA685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5" w:type="dxa"/>
          </w:tcPr>
          <w:p w:rsidR="00CA6855" w:rsidRPr="00154F14" w:rsidRDefault="00CA6855" w:rsidP="00CA6855">
            <w:pPr>
              <w:pStyle w:val="ListParagraph"/>
              <w:spacing w:line="36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154F1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45" w:type="dxa"/>
          </w:tcPr>
          <w:p w:rsidR="008372C4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Petikan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akhbar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terkini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Kawasan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Khas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Pantai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Timur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Sabah (ESSCOM)</w:t>
            </w:r>
            <w:r w:rsidR="0015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6855" w:rsidRPr="00F55213" w:rsidRDefault="00CA685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75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545"/>
            </w:tblGrid>
            <w:tr w:rsidR="008372C4" w:rsidRPr="00F55213">
              <w:tc>
                <w:tcPr>
                  <w:tcW w:w="75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372C4" w:rsidRPr="00154F14" w:rsidRDefault="004E000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Tawau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Kawasan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Keselamatan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Khas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Pantai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Timur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Sabah (ESSCOM)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mengemukakan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cadangan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kepada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kerajaan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untuk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menambah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satu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batalion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Pasukan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Gerakan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Am (PGA) di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Lahad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Datu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selain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satu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trup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komando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VAT69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Unit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Tindakan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Khas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bagi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Sandakan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serta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Semporna.</w:t>
                  </w:r>
                  <w:r w:rsid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Komander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ESSCOM, Datuk Ahmad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Fuad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Othman,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berkata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cadangan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itu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bertujuan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memastikan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tahap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keselamatan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di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kawasan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daratan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serta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perairan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Zon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Selamat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Timur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Sabah (ESSZONE),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sentiasa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pada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tahap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tertinggi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seterusnya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mengelakkan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daripada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dicerobohi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penjenayah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rentas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sempadan</w:t>
                  </w:r>
                  <w:proofErr w:type="spellEnd"/>
                  <w:r w:rsidRPr="00154F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372C4" w:rsidRPr="00E16437" w:rsidRDefault="004E000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Sumber:</w:t>
            </w:r>
            <w:hyperlink r:id="rId8"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 xml:space="preserve">https://www.bharian.com.my/berita/nasiona/2021/05/817962/essco </w:t>
              </w:r>
              <w:proofErr w:type="spellStart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mahu</w:t>
              </w:r>
              <w:proofErr w:type="spellEnd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-</w:t>
              </w:r>
              <w:proofErr w:type="spellStart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tambah</w:t>
              </w:r>
              <w:proofErr w:type="spellEnd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-</w:t>
              </w:r>
              <w:proofErr w:type="spellStart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kekuatan</w:t>
              </w:r>
              <w:proofErr w:type="spellEnd"/>
              <w:r w:rsidRPr="00E16437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-di</w:t>
              </w:r>
            </w:hyperlink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esszone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untuk-cegah-jenayah-dirantau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Di 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capai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pada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 </w:t>
            </w:r>
            <w:proofErr w:type="spellStart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>Ogos</w:t>
            </w:r>
            <w:proofErr w:type="spellEnd"/>
            <w:r w:rsidRPr="00E16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</w:t>
            </w:r>
          </w:p>
          <w:p w:rsidR="008372C4" w:rsidRPr="00F55213" w:rsidRDefault="008372C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2C4" w:rsidRPr="00F55213" w:rsidRDefault="004E000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wajarkah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meminta</w:t>
            </w:r>
            <w:proofErr w:type="spellEnd"/>
            <w:proofErr w:type="gram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isu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Sabah.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hujah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8372C4" w:rsidRPr="00F55213" w:rsidRDefault="00154F1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:rsidR="008372C4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  <w:bookmarkStart w:id="1" w:name="_GoBack"/>
      <w:bookmarkEnd w:id="1"/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Pr="00F55213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8"/>
        <w:tblW w:w="9016" w:type="dxa"/>
        <w:tblLayout w:type="fixed"/>
        <w:tblLook w:val="0400" w:firstRow="0" w:lastRow="0" w:firstColumn="0" w:lastColumn="0" w:noHBand="0" w:noVBand="1"/>
      </w:tblPr>
      <w:tblGrid>
        <w:gridCol w:w="704"/>
        <w:gridCol w:w="567"/>
        <w:gridCol w:w="7745"/>
      </w:tblGrid>
      <w:tr w:rsidR="008372C4" w:rsidRPr="00F55213" w:rsidTr="00706BE1">
        <w:tc>
          <w:tcPr>
            <w:tcW w:w="704" w:type="dxa"/>
            <w:tcBorders>
              <w:right w:val="single" w:sz="4" w:space="0" w:color="auto"/>
            </w:tcBorders>
          </w:tcPr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C4" w:rsidRPr="00E64D3C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“...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Tahun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1990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menandakan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berakhirnya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Rangka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Rancangan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Jangka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Panjang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Pertama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(RRJP 1)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Dasar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Ekonomi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Baru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(DEB).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Dalam</w:t>
            </w:r>
            <w:proofErr w:type="spellEnd"/>
            <w:r w:rsidR="00E64D3C"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64D3C"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tempoh</w:t>
            </w:r>
            <w:proofErr w:type="spellEnd"/>
            <w:r w:rsidR="00E64D3C"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64D3C"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pelaksanaan</w:t>
            </w:r>
            <w:proofErr w:type="spellEnd"/>
            <w:r w:rsidR="00E64D3C"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DEB (1971-</w:t>
            </w:r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1990),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ekonomi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Malaysia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telah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berkembang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dengan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pesatnya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walaupun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menghadapi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pelbagai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cabaran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Sesuatu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tidak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boleh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disangkal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adalah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walaupun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pencapaian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DEB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bukanlah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satu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kejayaan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menyeluruh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namun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banyak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kejayaan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telah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dicapai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20"/>
                <w:szCs w:val="20"/>
              </w:rPr>
              <w:t>…”</w:t>
            </w:r>
          </w:p>
          <w:p w:rsidR="008372C4" w:rsidRPr="00E64D3C" w:rsidRDefault="004E000C" w:rsidP="00E64D3C">
            <w:pPr>
              <w:spacing w:line="360" w:lineRule="auto"/>
              <w:jc w:val="right"/>
              <w:rPr>
                <w:rFonts w:ascii="Times New Roman" w:eastAsia="Arial" w:hAnsi="Times New Roman" w:cs="Times New Roman"/>
                <w:sz w:val="16"/>
                <w:szCs w:val="16"/>
              </w:rPr>
            </w:pPr>
            <w:proofErr w:type="spellStart"/>
            <w:r w:rsidRPr="00E64D3C">
              <w:rPr>
                <w:rFonts w:ascii="Times New Roman" w:eastAsia="Arial" w:hAnsi="Times New Roman" w:cs="Times New Roman"/>
                <w:sz w:val="16"/>
                <w:szCs w:val="16"/>
              </w:rPr>
              <w:t>Sumber</w:t>
            </w:r>
            <w:proofErr w:type="spellEnd"/>
            <w:r w:rsidRPr="00E64D3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: </w:t>
            </w:r>
            <w:hyperlink r:id="rId9">
              <w:r w:rsidRPr="00E64D3C">
                <w:rPr>
                  <w:rFonts w:ascii="Times New Roman" w:eastAsia="Arial" w:hAnsi="Times New Roman" w:cs="Times New Roman"/>
                  <w:color w:val="1155CC"/>
                  <w:sz w:val="16"/>
                  <w:szCs w:val="16"/>
                  <w:u w:val="single"/>
                </w:rPr>
                <w:t>08DASAR_PEMBANGUNAN_NASIONAL.pdf (pmo.gov.my)</w:t>
              </w:r>
            </w:hyperlink>
          </w:p>
        </w:tc>
      </w:tr>
      <w:tr w:rsidR="008372C4" w:rsidRPr="00F55213" w:rsidTr="00706BE1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6BE1" w:rsidRDefault="00706BE1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E64D3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45" w:type="dxa"/>
            <w:tcBorders>
              <w:top w:val="single" w:sz="4" w:space="0" w:color="auto"/>
            </w:tcBorders>
          </w:tcPr>
          <w:p w:rsidR="00706BE1" w:rsidRDefault="00706BE1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Nyatakan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objektif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penubuhan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Pembangunan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Nasional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(DPN).</w:t>
            </w:r>
          </w:p>
          <w:p w:rsidR="008372C4" w:rsidRPr="00F55213" w:rsidRDefault="00E64D3C">
            <w:pPr>
              <w:spacing w:line="36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E64D3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Huraikan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pelaksanaan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Pembangunan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Nasional</w:t>
            </w:r>
            <w:proofErr w:type="spellEnd"/>
            <w:r w:rsidR="00E64D3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(DPN)</w:t>
            </w:r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E64D3C">
            <w:pPr>
              <w:spacing w:line="36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706BE1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745" w:type="dxa"/>
          </w:tcPr>
          <w:p w:rsidR="00706BE1" w:rsidRDefault="00706BE1" w:rsidP="00706BE1">
            <w:pPr>
              <w:spacing w:line="360" w:lineRule="auto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Poster berikut berkaitan dengan Kempen Cintai Alam Sekitar</w:t>
            </w:r>
          </w:p>
          <w:p w:rsidR="00706BE1" w:rsidRPr="00F55213" w:rsidRDefault="00706BE1" w:rsidP="00E64D3C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 wp14:anchorId="4721EAC9" wp14:editId="7B38EFB1">
                  <wp:extent cx="3185160" cy="3931920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583" cy="39324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64D3C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Pembangunan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Nasional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menekankan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isu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pembangunan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mapan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tanpa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mengabaikan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alam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sekitar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</w:t>
            </w:r>
          </w:p>
          <w:p w:rsidR="00E64D3C" w:rsidRDefault="00E64D3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372C4" w:rsidRPr="00F55213" w:rsidRDefault="004E000C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Bagaimanakah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kita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boleh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memastikan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pembangunan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dapat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dijalankan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tanpa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merosakkan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alam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sekitar</w:t>
            </w:r>
            <w:proofErr w:type="spellEnd"/>
            <w:r w:rsidRPr="00F55213">
              <w:rPr>
                <w:rFonts w:ascii="Times New Roman" w:eastAsia="Arial" w:hAnsi="Times New Roman" w:cs="Times New Roman"/>
                <w:sz w:val="24"/>
                <w:szCs w:val="24"/>
              </w:rPr>
              <w:t>?</w:t>
            </w:r>
          </w:p>
          <w:p w:rsidR="008372C4" w:rsidRPr="00F55213" w:rsidRDefault="00E64D3C">
            <w:pPr>
              <w:spacing w:line="36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]</w:t>
            </w:r>
          </w:p>
        </w:tc>
      </w:tr>
    </w:tbl>
    <w:tbl>
      <w:tblPr>
        <w:tblStyle w:val="a9"/>
        <w:tblW w:w="9016" w:type="dxa"/>
        <w:tblLayout w:type="fixed"/>
        <w:tblLook w:val="0400" w:firstRow="0" w:lastRow="0" w:firstColumn="0" w:lastColumn="0" w:noHBand="0" w:noVBand="1"/>
      </w:tblPr>
      <w:tblGrid>
        <w:gridCol w:w="704"/>
        <w:gridCol w:w="567"/>
        <w:gridCol w:w="7745"/>
      </w:tblGrid>
      <w:tr w:rsidR="008372C4" w:rsidRPr="00F55213" w:rsidTr="004A0F3E">
        <w:tc>
          <w:tcPr>
            <w:tcW w:w="704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312" w:type="dxa"/>
            <w:gridSpan w:val="2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menjalinkan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mengikut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sejak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zaman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kerajaan-kerajaan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F3D2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45" w:type="dxa"/>
          </w:tcPr>
          <w:p w:rsidR="008372C4" w:rsidRPr="00F55213" w:rsidRDefault="00B51B1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Terang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>faktor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penggubalan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[4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F3D2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45" w:type="dxa"/>
          </w:tcPr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peng</w:t>
            </w:r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>libatan</w:t>
            </w:r>
            <w:proofErr w:type="spellEnd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Malaysia </w:t>
            </w:r>
            <w:proofErr w:type="spellStart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>Komanwel</w:t>
            </w:r>
            <w:proofErr w:type="spellEnd"/>
            <w:r w:rsidR="006F3D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[8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372C4" w:rsidRPr="00F55213" w:rsidTr="004A0F3E">
        <w:tc>
          <w:tcPr>
            <w:tcW w:w="704" w:type="dxa"/>
          </w:tcPr>
          <w:p w:rsidR="008372C4" w:rsidRPr="00F55213" w:rsidRDefault="008372C4">
            <w:pPr>
              <w:spacing w:line="36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72C4" w:rsidRPr="00F55213" w:rsidRDefault="006F3D2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E000C"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745" w:type="dxa"/>
          </w:tcPr>
          <w:p w:rsidR="00B51B17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Malaysia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Komanwel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kemakmuran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negara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Bincangkan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72C4" w:rsidRPr="00F55213" w:rsidRDefault="004E000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[8 </w:t>
            </w:r>
            <w:proofErr w:type="spellStart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F55213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:rsidR="008372C4" w:rsidRDefault="008372C4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Default="00CA6855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4C2808" w:rsidRDefault="004C2808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CA6855" w:rsidRPr="00CA6855" w:rsidRDefault="00CA6855" w:rsidP="00CA6855">
      <w:pPr>
        <w:spacing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KE</w:t>
      </w:r>
      <w:r w:rsidRPr="00CA6855">
        <w:rPr>
          <w:rFonts w:ascii="Times New Roman" w:eastAsia="Arial" w:hAnsi="Times New Roman" w:cs="Times New Roman"/>
          <w:b/>
          <w:sz w:val="24"/>
          <w:szCs w:val="24"/>
        </w:rPr>
        <w:t>RTAS PEPERIKSAAN TAMAT</w:t>
      </w:r>
    </w:p>
    <w:sectPr w:rsidR="00CA6855" w:rsidRPr="00CA6855" w:rsidSect="0074355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A20" w:rsidRDefault="00244A20" w:rsidP="00743559">
      <w:pPr>
        <w:spacing w:after="0" w:line="240" w:lineRule="auto"/>
      </w:pPr>
      <w:r>
        <w:separator/>
      </w:r>
    </w:p>
  </w:endnote>
  <w:endnote w:type="continuationSeparator" w:id="0">
    <w:p w:rsidR="00244A20" w:rsidRDefault="00244A20" w:rsidP="0074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59" w:rsidRDefault="00743559" w:rsidP="00743559">
    <w:pPr>
      <w:pStyle w:val="Footer"/>
      <w:jc w:val="center"/>
    </w:pPr>
    <w:r w:rsidRPr="00743559">
      <w:rPr>
        <w:b/>
      </w:rPr>
      <w:t>1249/2</w:t>
    </w:r>
    <w:r>
      <w:t xml:space="preserve"> </w:t>
    </w:r>
    <w:r w:rsidRPr="00743559">
      <w:rPr>
        <w:sz w:val="20"/>
        <w:szCs w:val="20"/>
      </w:rPr>
      <w:t xml:space="preserve">© 2022 </w:t>
    </w:r>
    <w:proofErr w:type="spellStart"/>
    <w:r w:rsidRPr="00743559">
      <w:rPr>
        <w:sz w:val="20"/>
        <w:szCs w:val="20"/>
      </w:rPr>
      <w:t>Hak</w:t>
    </w:r>
    <w:proofErr w:type="spellEnd"/>
    <w:r w:rsidRPr="00743559">
      <w:rPr>
        <w:sz w:val="20"/>
        <w:szCs w:val="20"/>
      </w:rPr>
      <w:t xml:space="preserve"> </w:t>
    </w:r>
    <w:proofErr w:type="spellStart"/>
    <w:r w:rsidRPr="00743559">
      <w:rPr>
        <w:sz w:val="20"/>
        <w:szCs w:val="20"/>
      </w:rPr>
      <w:t>Cipta</w:t>
    </w:r>
    <w:proofErr w:type="spellEnd"/>
    <w:r w:rsidRPr="00743559">
      <w:rPr>
        <w:sz w:val="20"/>
        <w:szCs w:val="20"/>
      </w:rPr>
      <w:t xml:space="preserve"> PPMP Daerah </w:t>
    </w:r>
    <w:proofErr w:type="spellStart"/>
    <w:r w:rsidRPr="00743559">
      <w:rPr>
        <w:sz w:val="20"/>
        <w:szCs w:val="20"/>
      </w:rPr>
      <w:t>Kulai</w:t>
    </w:r>
    <w:proofErr w:type="spellEnd"/>
    <w:r>
      <w:t xml:space="preserve">                                                             </w:t>
    </w:r>
    <w:proofErr w:type="gramStart"/>
    <w:r>
      <w:t xml:space="preserve">   [</w:t>
    </w:r>
    <w:proofErr w:type="spellStart"/>
    <w:proofErr w:type="gramEnd"/>
    <w:r>
      <w:t>Lihat</w:t>
    </w:r>
    <w:proofErr w:type="spellEnd"/>
    <w:r>
      <w:t xml:space="preserve"> </w:t>
    </w:r>
    <w:proofErr w:type="spellStart"/>
    <w:r>
      <w:t>halaman</w:t>
    </w:r>
    <w:proofErr w:type="spellEnd"/>
    <w:r>
      <w:t xml:space="preserve"> </w:t>
    </w:r>
    <w:proofErr w:type="spellStart"/>
    <w:r>
      <w:t>sebelah</w:t>
    </w:r>
    <w:proofErr w:type="spellEnd"/>
    <w:r>
      <w:t xml:space="preserve"> </w:t>
    </w:r>
  </w:p>
  <w:p w:rsidR="00743559" w:rsidRPr="00743559" w:rsidRDefault="00743559" w:rsidP="00743559">
    <w:pPr>
      <w:pStyle w:val="Footer"/>
      <w:jc w:val="center"/>
      <w:rPr>
        <w:b/>
      </w:rPr>
    </w:pPr>
    <w:r>
      <w:t xml:space="preserve">                                                                                                                                                                       </w:t>
    </w:r>
    <w:r w:rsidRPr="00743559">
      <w:rPr>
        <w:b/>
      </w:rPr>
      <w:t xml:space="preserve">   SULIT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A20" w:rsidRDefault="00244A20" w:rsidP="00743559">
      <w:pPr>
        <w:spacing w:after="0" w:line="240" w:lineRule="auto"/>
      </w:pPr>
      <w:r>
        <w:separator/>
      </w:r>
    </w:p>
  </w:footnote>
  <w:footnote w:type="continuationSeparator" w:id="0">
    <w:p w:rsidR="00244A20" w:rsidRDefault="00244A20" w:rsidP="0074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80083843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3559" w:rsidRPr="00706BE1" w:rsidRDefault="00743559">
        <w:pPr>
          <w:pStyle w:val="Header"/>
          <w:jc w:val="center"/>
          <w:rPr>
            <w:rFonts w:ascii="Times New Roman" w:hAnsi="Times New Roman" w:cs="Times New Roman"/>
          </w:rPr>
        </w:pPr>
        <w:r w:rsidRPr="00706BE1">
          <w:rPr>
            <w:rFonts w:ascii="Times New Roman" w:hAnsi="Times New Roman" w:cs="Times New Roman"/>
            <w:b/>
          </w:rPr>
          <w:t xml:space="preserve">SULIT  </w:t>
        </w:r>
        <w:r w:rsidRPr="00706BE1">
          <w:rPr>
            <w:rFonts w:ascii="Times New Roman" w:hAnsi="Times New Roman" w:cs="Times New Roman"/>
          </w:rPr>
          <w:t xml:space="preserve">                 </w:t>
        </w:r>
        <w:r w:rsidR="00706BE1">
          <w:rPr>
            <w:rFonts w:ascii="Times New Roman" w:hAnsi="Times New Roman" w:cs="Times New Roman"/>
          </w:rPr>
          <w:t xml:space="preserve">                                  </w:t>
        </w:r>
        <w:r w:rsidRPr="00706BE1">
          <w:rPr>
            <w:rFonts w:ascii="Times New Roman" w:hAnsi="Times New Roman" w:cs="Times New Roman"/>
          </w:rPr>
          <w:t xml:space="preserve">            </w:t>
        </w:r>
        <w:r w:rsidRPr="00706BE1">
          <w:rPr>
            <w:rFonts w:ascii="Times New Roman" w:hAnsi="Times New Roman" w:cs="Times New Roman"/>
          </w:rPr>
          <w:fldChar w:fldCharType="begin"/>
        </w:r>
        <w:r w:rsidRPr="00706BE1">
          <w:rPr>
            <w:rFonts w:ascii="Times New Roman" w:hAnsi="Times New Roman" w:cs="Times New Roman"/>
          </w:rPr>
          <w:instrText xml:space="preserve"> PAGE   \* MERGEFORMAT </w:instrText>
        </w:r>
        <w:r w:rsidRPr="00706BE1">
          <w:rPr>
            <w:rFonts w:ascii="Times New Roman" w:hAnsi="Times New Roman" w:cs="Times New Roman"/>
          </w:rPr>
          <w:fldChar w:fldCharType="separate"/>
        </w:r>
        <w:r w:rsidR="00E16437">
          <w:rPr>
            <w:rFonts w:ascii="Times New Roman" w:hAnsi="Times New Roman" w:cs="Times New Roman"/>
            <w:noProof/>
          </w:rPr>
          <w:t>9</w:t>
        </w:r>
        <w:r w:rsidRPr="00706BE1">
          <w:rPr>
            <w:rFonts w:ascii="Times New Roman" w:hAnsi="Times New Roman" w:cs="Times New Roman"/>
            <w:noProof/>
          </w:rPr>
          <w:fldChar w:fldCharType="end"/>
        </w:r>
        <w:r w:rsidRPr="00706BE1">
          <w:rPr>
            <w:rFonts w:ascii="Times New Roman" w:hAnsi="Times New Roman" w:cs="Times New Roman"/>
            <w:noProof/>
          </w:rPr>
          <w:t xml:space="preserve">                             </w:t>
        </w:r>
        <w:r w:rsidR="00706BE1">
          <w:rPr>
            <w:rFonts w:ascii="Times New Roman" w:hAnsi="Times New Roman" w:cs="Times New Roman"/>
            <w:noProof/>
          </w:rPr>
          <w:t xml:space="preserve">   </w:t>
        </w:r>
        <w:r w:rsidRPr="00706BE1">
          <w:rPr>
            <w:rFonts w:ascii="Times New Roman" w:hAnsi="Times New Roman" w:cs="Times New Roman"/>
            <w:noProof/>
          </w:rPr>
          <w:t xml:space="preserve">                                         </w:t>
        </w:r>
        <w:r w:rsidRPr="00706BE1">
          <w:rPr>
            <w:rFonts w:ascii="Times New Roman" w:hAnsi="Times New Roman" w:cs="Times New Roman"/>
            <w:b/>
            <w:noProof/>
          </w:rPr>
          <w:t>1249/2</w:t>
        </w:r>
      </w:p>
    </w:sdtContent>
  </w:sdt>
  <w:p w:rsidR="00743559" w:rsidRPr="00706BE1" w:rsidRDefault="00743559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0537"/>
    <w:multiLevelType w:val="hybridMultilevel"/>
    <w:tmpl w:val="5D2A9E4C"/>
    <w:lvl w:ilvl="0" w:tplc="4AEA6E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D4F8F"/>
    <w:multiLevelType w:val="hybridMultilevel"/>
    <w:tmpl w:val="67A6AA7A"/>
    <w:lvl w:ilvl="0" w:tplc="13422F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1C5"/>
    <w:multiLevelType w:val="hybridMultilevel"/>
    <w:tmpl w:val="D660A690"/>
    <w:lvl w:ilvl="0" w:tplc="02829F5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9F22A6"/>
    <w:multiLevelType w:val="hybridMultilevel"/>
    <w:tmpl w:val="DDF6A090"/>
    <w:lvl w:ilvl="0" w:tplc="F7DC58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773B6"/>
    <w:multiLevelType w:val="hybridMultilevel"/>
    <w:tmpl w:val="D264F3FA"/>
    <w:lvl w:ilvl="0" w:tplc="86ACF4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C4"/>
    <w:rsid w:val="000C46F3"/>
    <w:rsid w:val="00154F14"/>
    <w:rsid w:val="00244A20"/>
    <w:rsid w:val="00287511"/>
    <w:rsid w:val="00356211"/>
    <w:rsid w:val="004A0F3E"/>
    <w:rsid w:val="004C2808"/>
    <w:rsid w:val="004E000C"/>
    <w:rsid w:val="0055145F"/>
    <w:rsid w:val="005A4452"/>
    <w:rsid w:val="005A7CB8"/>
    <w:rsid w:val="00691BA3"/>
    <w:rsid w:val="006936CB"/>
    <w:rsid w:val="006F3D2F"/>
    <w:rsid w:val="00706BE1"/>
    <w:rsid w:val="00743559"/>
    <w:rsid w:val="008372C4"/>
    <w:rsid w:val="008638C4"/>
    <w:rsid w:val="008C6562"/>
    <w:rsid w:val="00A7723D"/>
    <w:rsid w:val="00B51B17"/>
    <w:rsid w:val="00CA6855"/>
    <w:rsid w:val="00E16437"/>
    <w:rsid w:val="00E64D3C"/>
    <w:rsid w:val="00F5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F70FB1-70E0-42A5-8F83-05AF6B48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C65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4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3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559"/>
  </w:style>
  <w:style w:type="paragraph" w:styleId="Footer">
    <w:name w:val="footer"/>
    <w:basedOn w:val="Normal"/>
    <w:link w:val="FooterChar"/>
    <w:uiPriority w:val="99"/>
    <w:unhideWhenUsed/>
    <w:rsid w:val="00743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harian.com.my/berita/nasiona/2021/05/817962/esscom-mahu-tambah-kekuatan-d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.wikipedia.org/wiki/Ahli_Majlis_Perundangan%20_Persekutuan_Tanah_Melay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www.pmo.gov.my/dokumenattached/Dasar/08DASAR_PEMBANGUNAN_NASIONA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dewa langit_</dc:creator>
  <cp:lastModifiedBy>dewa langit_</cp:lastModifiedBy>
  <cp:revision>4</cp:revision>
  <dcterms:created xsi:type="dcterms:W3CDTF">2022-10-19T05:01:00Z</dcterms:created>
  <dcterms:modified xsi:type="dcterms:W3CDTF">2022-10-19T07:09:00Z</dcterms:modified>
</cp:coreProperties>
</file>